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Camera Shot Sheet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Establishing Shot: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An establishing shot in filmmaking and television production sets up, or establishes the context for a scene by showing the relationship between its important figures and objects.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3650615" cy="2207895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20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114300" cy="228600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Long Shot: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a long shot typically shows the entire object or human figure and is usually intended to place it in some relation to its surroundings.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050415" cy="145859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458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Medium Shot: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In film, a medium shot, mid shot, or waist shot is a camera angle shot from a medium distance. 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515235" cy="1929765"/>
            <wp:effectExtent b="0" l="0" r="0" t="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929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Over the Shoulder Shot: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n film or video, an over the shoulder shot is a shot of someone or something taken from the perspective or camera angle from the shoulder of another person.</w:t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734945" cy="1622425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62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Close-up: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A close-up is a type of shot, which tightly frames a person or an object.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512695" cy="140716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407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Two Shot: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two shot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is a type of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shot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in which the frame encompasses a view of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two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people (the subjects). The subjects do not have to be next to each other, and there are many common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two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shots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which have one subject in the foreground and the other subject in the background. It is very useful if the film is about 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two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people.</w:t>
      </w:r>
    </w:p>
    <w:p w:rsidR="00000000" w:rsidDel="00000000" w:rsidP="00000000" w:rsidRDefault="00000000" w:rsidRPr="00000000" w14:paraId="00000044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743835" cy="1527175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52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Tracking Shot: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 A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tracking shot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is any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shot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where the camera moves alongside the object(s) it is recording. In cinematography, the term refers to a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shot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in which the camera is mounted on a camera dolly that is then placed on rails – like a railroad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track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. The camera is then pushed along the </w:t>
      </w:r>
      <w:r w:rsidDel="00000000" w:rsidR="00000000" w:rsidRPr="00000000">
        <w:rPr>
          <w:b w:val="1"/>
          <w:color w:val="6a6a6a"/>
          <w:sz w:val="24"/>
          <w:szCs w:val="24"/>
          <w:rtl w:val="0"/>
        </w:rPr>
        <w:t xml:space="preserve">track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 while the image is being filmed.</w:t>
      </w:r>
    </w:p>
    <w:p w:rsidR="00000000" w:rsidDel="00000000" w:rsidP="00000000" w:rsidRDefault="00000000" w:rsidRPr="00000000" w14:paraId="00000052">
      <w:pPr>
        <w:pageBreakBefore w:val="0"/>
        <w:widowControl w:val="0"/>
        <w:spacing w:line="240" w:lineRule="auto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i w:val="1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562225" cy="2009775"/>
            <wp:effectExtent b="0" l="0" r="0" t="0"/>
            <wp:docPr descr="tracking shot" id="7" name="image1.jpg"/>
            <a:graphic>
              <a:graphicData uri="http://schemas.openxmlformats.org/drawingml/2006/picture">
                <pic:pic>
                  <pic:nvPicPr>
                    <pic:cNvPr descr="tracking shot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4.jpg"/><Relationship Id="rId12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